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  <w:bookmarkEnd w:id="3"/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Style w:val="Style_4_ch"/>
          <w:rFonts w:ascii="Times New Roman" w:hAnsi="Times New Roman"/>
          <w:b w:val="1"/>
          <w:sz w:val="28"/>
        </w:rPr>
        <w:t>Подпорожская городская прокуратура провела мероприятие по правовому информированию граждан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C000000">
      <w:pPr>
        <w:pStyle w:val="Style_4"/>
        <w:widowControl w:val="1"/>
        <w:spacing w:after="0"/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В рамках мероприятия Подпорожский городской прокурор Дмитрий Сернов провел разъяснительную работу с гражданами, проживающими в Вознесенском муниципальном образовании, жителям рассказали о новых способах дистанционного мошенничества, а также о мерах предосторожности при использовании банковских карт, совершении онлайн-покупок и предоставлении личных данных.</w:t>
      </w:r>
    </w:p>
    <w:p w14:paraId="0D000000">
      <w:pPr>
        <w:pStyle w:val="Style_4"/>
        <w:widowControl w:val="1"/>
        <w:spacing w:after="0"/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Работа по правовому просвещению в указанной сфере будет продолжена.</w:t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6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7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8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4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2026-02-25T09:27:19Z</dcterms:modified>
</cp:coreProperties>
</file>